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8" w:rsidRPr="00DB4788" w:rsidRDefault="00DB4788" w:rsidP="00DB4788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97677"/>
          <w:sz w:val="21"/>
          <w:szCs w:val="21"/>
        </w:rPr>
      </w:pPr>
    </w:p>
    <w:tbl>
      <w:tblPr>
        <w:tblW w:w="13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5"/>
      </w:tblGrid>
      <w:tr w:rsidR="00DB4788" w:rsidRPr="00DB4788" w:rsidTr="00DB4788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97677"/>
                <w:sz w:val="21"/>
                <w:szCs w:val="21"/>
              </w:rPr>
              <w:t>La MJC</w:t>
            </w:r>
          </w:p>
        </w:tc>
      </w:tr>
      <w:tr w:rsidR="00DB4788" w:rsidRPr="00DB4788" w:rsidTr="00DB4788"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21"/>
                <w:szCs w:val="21"/>
              </w:rPr>
            </w:pPr>
          </w:p>
        </w:tc>
      </w:tr>
      <w:tr w:rsidR="00DB4788" w:rsidRPr="00DB4788" w:rsidTr="00DB4788"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 xml:space="preserve"> MJC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c'est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Maison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...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gram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</w:t>
            </w:r>
            <w:proofErr w:type="gram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espace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pour se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retrouver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partager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apprendre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se confronter, 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espace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fondé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sur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la relation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humaine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diversité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.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C'est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maison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favorise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l'autonomie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l'épanouissement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personnes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participe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à la construction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société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plus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solidaire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responsable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 xml:space="preserve">...des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Jeunes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...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proofErr w:type="gram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tous</w:t>
            </w:r>
            <w:proofErr w:type="spellEnd"/>
            <w:proofErr w:type="gram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jeunes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3 à 99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ans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!</w:t>
            </w: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br/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Ils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sont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adhérents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usagers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habitants,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ils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viennent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d'ici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ou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d'ailleurs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se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rencontrent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à travers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activités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régulières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ou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occasionnelles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projets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socio-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éducatifs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culturels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...et de la Culture...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il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s'agit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toutes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les cultures,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celles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rassemblent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hommes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les femmes,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celles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offrent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espaces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développement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celles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participent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à la construction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soi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celles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contribuent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au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maintien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du lien social,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celles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portent les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valeurs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République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: </w:t>
            </w: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br/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liberté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égalité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fraternité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laïcité</w:t>
            </w:r>
            <w:proofErr w:type="spellEnd"/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...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 xml:space="preserve"> association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d'Education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Populaire</w:t>
            </w:r>
            <w:proofErr w:type="spellEnd"/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Elle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permet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d'être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acteur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sa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vie. Elle met en place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démocratie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vivante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encourage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l'initiative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prise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responsabilités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citoyens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futurs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citoyens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. Elle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favorise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liberté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idées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des initiatives,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l'émancipation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laïcité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la confrontation des opinions, des regards et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pratiques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</w:tc>
      </w:tr>
    </w:tbl>
    <w:p w:rsidR="00DB4788" w:rsidRDefault="00DB4788"/>
    <w:tbl>
      <w:tblPr>
        <w:tblW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DB4788" w:rsidRPr="00DB4788" w:rsidTr="00DB4788">
        <w:tc>
          <w:tcPr>
            <w:tcW w:w="5000" w:type="pct"/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B4788" w:rsidRPr="00DB4788" w:rsidRDefault="00DB4788" w:rsidP="00DB4788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97677"/>
          <w:sz w:val="21"/>
          <w:szCs w:val="21"/>
        </w:rPr>
      </w:pPr>
    </w:p>
    <w:tbl>
      <w:tblPr>
        <w:tblW w:w="13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5"/>
      </w:tblGrid>
      <w:tr w:rsidR="00DB4788" w:rsidRPr="00DB4788" w:rsidTr="00DB4788"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hyperlink r:id="rId5" w:history="1">
              <w:r w:rsidRPr="00DB4788">
                <w:rPr>
                  <w:rFonts w:ascii="Arial" w:eastAsia="Times New Roman" w:hAnsi="Arial" w:cs="Arial"/>
                  <w:color w:val="797677"/>
                  <w:sz w:val="18"/>
                  <w:szCs w:val="18"/>
                  <w:u w:val="single"/>
                </w:rPr>
                <w:t>LA MJC</w:t>
              </w:r>
            </w:hyperlink>
          </w:p>
        </w:tc>
      </w:tr>
      <w:tr w:rsidR="00DB4788" w:rsidRPr="00DB4788" w:rsidTr="00DB4788"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 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MJC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association à but non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lucratif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(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loi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1901)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constituée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bénévoles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professionnels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. Elle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cogérée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par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adhérents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partenaires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:</w:t>
            </w:r>
            <w:proofErr w:type="gram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la Ville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Teyran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Fédération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Régionale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des MJC de Languedoc-Roussillon (FRMJC-LR).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La MJC de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Teyran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rassemble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environ 600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adhérents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chaque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année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emploie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treize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salariés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selon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les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périodes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compte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dizaine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d'associations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partenaires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prestataires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d'activités</w:t>
            </w:r>
            <w:proofErr w:type="spellEnd"/>
            <w:r w:rsidRPr="00DB4788">
              <w:rPr>
                <w:rFonts w:ascii="Arial" w:eastAsia="Times New Roman" w:hAnsi="Arial" w:cs="Arial"/>
                <w:i/>
                <w:iCs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Pour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mettre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en oeuvre le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projet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associatif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adhérents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partenaires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se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réunissent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chaque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année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en Assemblée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Générale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pour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élire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Conseil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d'Administration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alors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chargé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d'assurer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le bon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fonctionnement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l'association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l'application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décisions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prises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lors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l'AG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lastRenderedPageBreak/>
              <w:t xml:space="preserve">L'AG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rendez-vous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indispensable qui a pour but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d'informer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adhérents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sur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fonctionnement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la MJC au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quotidien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leur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donner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la parole, de faire 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bilan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saison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passée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d'évoquer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projets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à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venir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Le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Conseil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d'Administration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fois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élu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(6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personnes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au minimum) se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réunit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ensuite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pour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désigner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son Bureau,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l'instance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dirigeante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l'association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qui se compose au minimum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ainsi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:</w:t>
            </w:r>
          </w:p>
          <w:p w:rsidR="00DB4788" w:rsidRPr="00DB4788" w:rsidRDefault="00DB4788" w:rsidP="00DB4788">
            <w:pPr>
              <w:numPr>
                <w:ilvl w:val="0"/>
                <w:numId w:val="1"/>
              </w:numPr>
              <w:spacing w:after="0" w:line="405" w:lineRule="atLeast"/>
              <w:ind w:left="0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Président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représentant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légal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la structure</w:t>
            </w:r>
          </w:p>
          <w:p w:rsidR="00DB4788" w:rsidRPr="00DB4788" w:rsidRDefault="00DB4788" w:rsidP="00DB4788">
            <w:pPr>
              <w:numPr>
                <w:ilvl w:val="0"/>
                <w:numId w:val="1"/>
              </w:numPr>
              <w:spacing w:after="0" w:line="405" w:lineRule="atLeast"/>
              <w:ind w:left="0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Trésorier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chargé de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gestion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financière</w:t>
            </w:r>
            <w:proofErr w:type="spellEnd"/>
          </w:p>
          <w:p w:rsidR="00DB4788" w:rsidRPr="00DB4788" w:rsidRDefault="00DB4788" w:rsidP="00DB4788">
            <w:pPr>
              <w:numPr>
                <w:ilvl w:val="0"/>
                <w:numId w:val="1"/>
              </w:numPr>
              <w:spacing w:after="0" w:line="405" w:lineRule="atLeast"/>
              <w:ind w:left="0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Secrétaire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chargé du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fonctionnement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administratif</w:t>
            </w:r>
            <w:proofErr w:type="spellEnd"/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De plus,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l'étroite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collaboration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existe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entre la Ville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Teyran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la FRMJC-LR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permet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à la MJC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d'avoir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un poste de direction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entièrement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financé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la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municipalité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, qui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vient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renforcer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consolider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son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équipe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</w:tc>
      </w:tr>
    </w:tbl>
    <w:p w:rsidR="00DB4788" w:rsidRDefault="00DB4788"/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5"/>
      </w:tblGrid>
      <w:tr w:rsidR="00DB4788" w:rsidRPr="00DB4788" w:rsidTr="00DB47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hyperlink r:id="rId6" w:history="1">
              <w:r w:rsidRPr="00DB4788">
                <w:rPr>
                  <w:rFonts w:ascii="Arial" w:eastAsia="Times New Roman" w:hAnsi="Arial" w:cs="Arial"/>
                  <w:color w:val="797677"/>
                  <w:sz w:val="18"/>
                  <w:szCs w:val="18"/>
                  <w:u w:val="single"/>
                </w:rPr>
                <w:t>LA MJC</w:t>
              </w:r>
            </w:hyperlink>
          </w:p>
        </w:tc>
      </w:tr>
      <w:tr w:rsidR="00DB4788" w:rsidRPr="00DB4788" w:rsidTr="00DB47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 </w:t>
            </w: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Adhérer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 xml:space="preserve"> à la MJC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 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L’adhésion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l'acte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fondamental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la vie associative,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par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lequel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vous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adhérez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volontairement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au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collectif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à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valeurs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Etre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adhérent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obligatoire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pour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participer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aux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activités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proposées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la MJC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être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assuré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au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sein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nos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locaux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numPr>
                <w:ilvl w:val="0"/>
                <w:numId w:val="2"/>
              </w:numPr>
              <w:spacing w:after="0" w:line="405" w:lineRule="atLeast"/>
              <w:ind w:left="0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adhésion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individuelle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 : 21 €</w:t>
            </w:r>
          </w:p>
          <w:p w:rsidR="00DB4788" w:rsidRPr="00DB4788" w:rsidRDefault="00DB4788" w:rsidP="00DB4788">
            <w:pPr>
              <w:numPr>
                <w:ilvl w:val="0"/>
                <w:numId w:val="3"/>
              </w:numPr>
              <w:spacing w:after="0" w:line="405" w:lineRule="atLeast"/>
              <w:ind w:left="0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adhésion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familiale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 : 31 €</w:t>
            </w:r>
          </w:p>
          <w:p w:rsidR="00DB4788" w:rsidRPr="00DB4788" w:rsidRDefault="00DB4788" w:rsidP="00DB4788">
            <w:pPr>
              <w:numPr>
                <w:ilvl w:val="0"/>
                <w:numId w:val="4"/>
              </w:numPr>
              <w:spacing w:after="0" w:line="405" w:lineRule="atLeast"/>
              <w:ind w:left="0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adhésion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stages : 7 €  </w:t>
            </w:r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(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activités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occasionnelles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)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 </w:t>
            </w: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Cotiser</w:t>
            </w:r>
            <w:proofErr w:type="spellEnd"/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Chaque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activité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engendre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 </w:t>
            </w: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frais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réels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personnel,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fonctionnement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matériel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pédagogique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.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Votre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cotisation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tient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compte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coût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prend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en charge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partie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frais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généraux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l'association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Le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montant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cotisations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d’activités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 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annuel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.</w:t>
            </w: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br/>
              <w:t xml:space="preserve">Le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règlement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en 3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chèques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accepté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reste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facilité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paiement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■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Aucun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remboursement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ne sera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effectué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sans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justificatif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(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changement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de domicile, raisons de santé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sur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présentation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d’un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certificat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médical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).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Chaque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demande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sera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étudiée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par le CA qui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validera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, le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cas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échéant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</w:rPr>
              <w:t>,</w:t>
            </w:r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  <w:u w:val="single"/>
              </w:rPr>
              <w:t xml:space="preserve"> le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  <w:u w:val="single"/>
              </w:rPr>
              <w:t>remboursement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  <w:u w:val="single"/>
              </w:rPr>
              <w:t xml:space="preserve"> sous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  <w:u w:val="single"/>
              </w:rPr>
              <w:t>forme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  <w:u w:val="single"/>
              </w:rPr>
              <w:t>d'avoir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i/>
                <w:iCs/>
                <w:color w:val="797677"/>
                <w:sz w:val="18"/>
                <w:szCs w:val="18"/>
                <w:u w:val="single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lastRenderedPageBreak/>
              <w:t> </w:t>
            </w:r>
          </w:p>
          <w:p w:rsidR="00DB4788" w:rsidRPr="00DB4788" w:rsidRDefault="00DB4788" w:rsidP="00DB4788">
            <w:pPr>
              <w:spacing w:after="0" w:line="300" w:lineRule="atLeast"/>
              <w:outlineLvl w:val="0"/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kern w:val="36"/>
                <w:sz w:val="18"/>
                <w:szCs w:val="18"/>
              </w:rPr>
              <w:t>Participer</w:t>
            </w:r>
            <w:proofErr w:type="spellEnd"/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 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Le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calendrier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des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activités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de la MJC suit le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calendrier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scolaire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, pour les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vacances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scolaires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et</w:t>
            </w:r>
            <w:proofErr w:type="gram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  les</w:t>
            </w:r>
            <w:proofErr w:type="gram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jours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fériés</w:t>
            </w:r>
            <w:proofErr w:type="spellEnd"/>
            <w:r w:rsidRPr="00DB4788">
              <w:rPr>
                <w:rFonts w:ascii="Arial" w:eastAsia="Times New Roman" w:hAnsi="Arial" w:cs="Arial"/>
                <w:b/>
                <w:bCs/>
                <w:color w:val="797677"/>
                <w:sz w:val="18"/>
                <w:szCs w:val="18"/>
              </w:rPr>
              <w:t>.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séance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d'essai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offerte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pour les nouveaux participants à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une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activité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(hors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Ecole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Musique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)</w:t>
            </w:r>
          </w:p>
          <w:p w:rsidR="00DB4788" w:rsidRPr="00DB4788" w:rsidRDefault="00DB4788" w:rsidP="00DB4788">
            <w:pPr>
              <w:spacing w:after="0" w:line="300" w:lineRule="atLeast"/>
              <w:rPr>
                <w:rFonts w:ascii="Arial" w:eastAsia="Times New Roman" w:hAnsi="Arial" w:cs="Arial"/>
                <w:color w:val="797677"/>
                <w:sz w:val="18"/>
                <w:szCs w:val="18"/>
              </w:rPr>
            </w:pP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Un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certificat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médical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non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contre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-indication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est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obligatoire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pour touts les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activités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physiques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sportives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et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doit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être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fourni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lors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de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l'inscription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br/>
            </w:r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br/>
              <w:t xml:space="preserve">Les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licences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sont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 xml:space="preserve"> à la charge des </w:t>
            </w:r>
            <w:proofErr w:type="spellStart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adhérents</w:t>
            </w:r>
            <w:proofErr w:type="spellEnd"/>
            <w:r w:rsidRPr="00DB4788">
              <w:rPr>
                <w:rFonts w:ascii="Arial" w:eastAsia="Times New Roman" w:hAnsi="Arial" w:cs="Arial"/>
                <w:color w:val="797677"/>
                <w:sz w:val="18"/>
                <w:szCs w:val="18"/>
              </w:rPr>
              <w:t>.</w:t>
            </w:r>
          </w:p>
        </w:tc>
      </w:tr>
    </w:tbl>
    <w:p w:rsidR="00DB4788" w:rsidRDefault="00DB4788"/>
    <w:sectPr w:rsidR="00DB4788" w:rsidSect="00DB47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481"/>
    <w:multiLevelType w:val="multilevel"/>
    <w:tmpl w:val="3DC8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5149"/>
    <w:multiLevelType w:val="multilevel"/>
    <w:tmpl w:val="612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A2986"/>
    <w:multiLevelType w:val="multilevel"/>
    <w:tmpl w:val="7206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9702A"/>
    <w:multiLevelType w:val="multilevel"/>
    <w:tmpl w:val="BAC8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8"/>
    <w:rsid w:val="00753A2D"/>
    <w:rsid w:val="00D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1F324-B706-4DE6-8E24-36B89F75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B4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4788"/>
  </w:style>
  <w:style w:type="character" w:styleId="Emphasis">
    <w:name w:val="Emphasis"/>
    <w:basedOn w:val="DefaultParagraphFont"/>
    <w:uiPriority w:val="20"/>
    <w:qFormat/>
    <w:rsid w:val="00DB4788"/>
    <w:rPr>
      <w:i/>
      <w:iCs/>
    </w:rPr>
  </w:style>
  <w:style w:type="character" w:styleId="Strong">
    <w:name w:val="Strong"/>
    <w:basedOn w:val="DefaultParagraphFont"/>
    <w:uiPriority w:val="22"/>
    <w:qFormat/>
    <w:rsid w:val="00DB4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cteyran.fr/la-mjc" TargetMode="External"/><Relationship Id="rId5" Type="http://schemas.openxmlformats.org/officeDocument/2006/relationships/hyperlink" Target="http://www.mjcteyran.fr/la-m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2016-05-23T14:46:00Z</dcterms:created>
  <dcterms:modified xsi:type="dcterms:W3CDTF">2016-05-23T14:52:00Z</dcterms:modified>
</cp:coreProperties>
</file>