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90" w:rsidRPr="004F2A90" w:rsidRDefault="004F2A90" w:rsidP="004F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F2A90"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inline distT="0" distB="0" distL="0" distR="0" wp14:anchorId="2335D9F7" wp14:editId="63F7A60E">
                <wp:extent cx="304800" cy="304800"/>
                <wp:effectExtent l="0" t="0" r="0" b="0"/>
                <wp:docPr id="2" name="Rectangle 2" descr="La Banque Mondiale Œuvrer pour un monde sans pauvreté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BC0C8" id="Rectangle 2" o:spid="_x0000_s1026" alt="La Banque Mondiale Œuvrer pour un monde sans pauvreté" href="http://www.banquemondiale.org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/7FwMAAGsGAAAOAAAAZHJzL2Uyb0RvYy54bWysVeFu0zAQ/o/EO1j+nyXp0q6Jlk5b0yKk&#10;DSYGD+AmTmPNsT3baTYQL8Fb8ByI9+LstFu7ISEB+RHZPue7++6+u5ye3bccbag2TIocx0cRRlSU&#10;smJineNPH5fBFCNjiagIl4Lm+IEafDZ7/eq0VxkdyUbyimoEIMJkvcpxY63KwtCUDW2JOZKKCjDW&#10;UrfEwlavw0qTHtBbHo6iaBL2UldKy5IaA6fFYMQzj1/XtLTv69pQi3iOITbr39q/V+4dzk5JttZE&#10;NazchkH+IoqWMAFOH6EKYgnqNHsB1bJSSyNre1TKNpR1zUrqOQCbOHrG5qYhinoukByjHtNk/h9s&#10;+W5zrRGrcjzCSJAWSvQBkkbEmlMERxU1JaTrkqALIu46iq6kqBgB489v3UZD7ZTsNOoEasFAkSHC&#10;IEWcyf747lPScCZu55yVt1sCgPfnMg+pKWTZtVTYodaacmJBaKZhymCkMxe3flvFroxhr0zm6bji&#10;++WNutauKEZdyvLWICHnDTCj50YBR5ArUN4daS37hpIKcnsAN2A4QANoaNVfyQqSRDorPbv7WrfO&#10;B8SL7r2uHh51Re8tKuHwOEqmEaivBNN27QIm2e5jpY19Q2WL3AIoQXQenGwujR2u7q44X0IuGede&#10;ulwcHADmcAKu4VNnc0F4JX5Jo3QxXUyTIBlNFkESFUVwvpwnwWQZn4yL42I+L+Kvzm+cZA2rKiqc&#10;m11XxMmLsv1WzNv+HPT82BdGclY5OBeS0evVnGu0IdCVS//4CoLl6Vp4GIbPF3B5RikeJdHFKA2W&#10;k+lJkCyTcZCeRNMgitOLdBIlaVIsDyldMkH/nRLqc5yOR2Nfpb2gn3GL/POSG8laZqF3OGtzDNKA&#10;Z5hEToELUfnSWsL4sN5LhQv/KRVQ7l2hvfydRAf1r2T1AHLVEuQEyoMJDYtG6s8Y9TDtcmzuOqIp&#10;RvytAMmncZK48eg3yfhkBBu9b1ntW4goASrHFqNhObewg086pdm6AU+xT4yQ59AmNfMSdi00RLXt&#10;VZhonsl2+rqRub/3t57+EbNf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I4NYLVAAAASQEAABkAAABkcnMvX3JlbHMvZTJvRG9jLnhtbC5yZWxzhNDB&#10;asMwDAbg+2DvYHRfnPYwxojTS1vooZfRPYBmK4mpLbu227RvPzPYWGGwo5D06Ufd6uqduFDKNrCC&#10;RdOCINbBWB4VvB+2Ty8gckE26AKTghtlWPWPD90bOSx1KU82ZlEVzgqmUuKrlFlP5DE3IRLXzhCS&#10;x1LLNMqI+ogjyWXbPsv024D+zhQ7oyDtzALE4Rbr5f/tMAxW0zrosycuf5yQU5WSs3ysKKaRyg87&#10;z3PzgXw6kw9sLDr6ivs9tw+mRthcCyVGB7Lv5N0D+k8AAAD//wMAUEsBAi0AFAAGAAgAAAAhALaD&#10;OJL+AAAA4QEAABMAAAAAAAAAAAAAAAAAAAAAAFtDb250ZW50X1R5cGVzXS54bWxQSwECLQAUAAYA&#10;CAAAACEAOP0h/9YAAACUAQAACwAAAAAAAAAAAAAAAAAvAQAAX3JlbHMvLnJlbHNQSwECLQAUAAYA&#10;CAAAACEAh7ov+xcDAABrBgAADgAAAAAAAAAAAAAAAAAuAgAAZHJzL2Uyb0RvYy54bWxQSwECLQAU&#10;AAYACAAAACEAhnOS4dYAAAADAQAADwAAAAAAAAAAAAAAAABxBQAAZHJzL2Rvd25yZXYueG1sUEsB&#10;Ai0AFAAGAAgAAAAhAFI4NYLVAAAASQEAABkAAAAAAAAAAAAAAAAAdA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F2A90" w:rsidRPr="004F2A90" w:rsidRDefault="004F2A90" w:rsidP="004F2A90">
      <w:pPr>
        <w:spacing w:after="75" w:line="690" w:lineRule="atLeast"/>
        <w:outlineLvl w:val="0"/>
        <w:rPr>
          <w:rFonts w:ascii="inherit" w:eastAsia="Times New Roman" w:hAnsi="inherit" w:cs="Arial"/>
          <w:b/>
          <w:bCs/>
          <w:kern w:val="36"/>
          <w:sz w:val="36"/>
          <w:szCs w:val="36"/>
        </w:rPr>
      </w:pPr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 xml:space="preserve">Le monde </w:t>
      </w:r>
      <w:proofErr w:type="spellStart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>connaît</w:t>
      </w:r>
      <w:proofErr w:type="spellEnd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 xml:space="preserve"> </w:t>
      </w:r>
      <w:proofErr w:type="spellStart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>aujourd'hui</w:t>
      </w:r>
      <w:proofErr w:type="spellEnd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 xml:space="preserve"> </w:t>
      </w:r>
      <w:proofErr w:type="spellStart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>une</w:t>
      </w:r>
      <w:proofErr w:type="spellEnd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 xml:space="preserve"> </w:t>
      </w:r>
      <w:proofErr w:type="spellStart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>évolution</w:t>
      </w:r>
      <w:proofErr w:type="spellEnd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 xml:space="preserve"> majeure de </w:t>
      </w:r>
      <w:proofErr w:type="spellStart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>sa</w:t>
      </w:r>
      <w:proofErr w:type="spellEnd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 xml:space="preserve"> </w:t>
      </w:r>
      <w:proofErr w:type="spellStart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>démographie</w:t>
      </w:r>
      <w:proofErr w:type="spellEnd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 xml:space="preserve"> et </w:t>
      </w:r>
      <w:proofErr w:type="spellStart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>ses</w:t>
      </w:r>
      <w:proofErr w:type="spellEnd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 xml:space="preserve"> </w:t>
      </w:r>
      <w:proofErr w:type="spellStart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>importantes</w:t>
      </w:r>
      <w:proofErr w:type="spellEnd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 xml:space="preserve"> </w:t>
      </w:r>
      <w:proofErr w:type="spellStart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>répercussions</w:t>
      </w:r>
      <w:proofErr w:type="spellEnd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 xml:space="preserve"> </w:t>
      </w:r>
      <w:proofErr w:type="spellStart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>sur</w:t>
      </w:r>
      <w:proofErr w:type="spellEnd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 xml:space="preserve"> la migration, la </w:t>
      </w:r>
      <w:proofErr w:type="spellStart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>pauvreté</w:t>
      </w:r>
      <w:proofErr w:type="spellEnd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 xml:space="preserve"> et le </w:t>
      </w:r>
      <w:proofErr w:type="spellStart"/>
      <w:proofErr w:type="gramStart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>développement</w:t>
      </w:r>
      <w:proofErr w:type="spellEnd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 xml:space="preserve"> :</w:t>
      </w:r>
      <w:proofErr w:type="gramEnd"/>
      <w:r w:rsidRPr="004F2A90">
        <w:rPr>
          <w:rFonts w:ascii="inherit" w:eastAsia="Times New Roman" w:hAnsi="inherit" w:cs="Arial"/>
          <w:b/>
          <w:bCs/>
          <w:kern w:val="36"/>
          <w:sz w:val="36"/>
          <w:szCs w:val="36"/>
        </w:rPr>
        <w:t xml:space="preserve"> Rapport BM / FMI</w:t>
      </w:r>
    </w:p>
    <w:p w:rsidR="004F2A90" w:rsidRPr="004F2A90" w:rsidRDefault="004F2A90" w:rsidP="004F2A90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4F2A90">
        <w:rPr>
          <w:rFonts w:ascii="Arial" w:eastAsia="Times New Roman" w:hAnsi="Arial" w:cs="Arial"/>
          <w:sz w:val="18"/>
          <w:szCs w:val="18"/>
        </w:rPr>
        <w:t xml:space="preserve">07 </w:t>
      </w:r>
      <w:proofErr w:type="spellStart"/>
      <w:r w:rsidRPr="004F2A90">
        <w:rPr>
          <w:rFonts w:ascii="Arial" w:eastAsia="Times New Roman" w:hAnsi="Arial" w:cs="Arial"/>
          <w:sz w:val="18"/>
          <w:szCs w:val="18"/>
        </w:rPr>
        <w:t>octobre</w:t>
      </w:r>
      <w:proofErr w:type="spellEnd"/>
      <w:r w:rsidRPr="004F2A90">
        <w:rPr>
          <w:rFonts w:ascii="Arial" w:eastAsia="Times New Roman" w:hAnsi="Arial" w:cs="Arial"/>
          <w:sz w:val="18"/>
          <w:szCs w:val="18"/>
        </w:rPr>
        <w:t xml:space="preserve"> 2015</w:t>
      </w:r>
    </w:p>
    <w:p w:rsidR="004F2A90" w:rsidRPr="004F2A90" w:rsidRDefault="004F2A90" w:rsidP="004F2A90">
      <w:pPr>
        <w:spacing w:line="240" w:lineRule="auto"/>
        <w:ind w:left="420"/>
        <w:textAlignment w:val="center"/>
        <w:rPr>
          <w:rFonts w:ascii="Arial" w:eastAsia="Times New Roman" w:hAnsi="Arial" w:cs="Arial"/>
          <w:sz w:val="23"/>
          <w:szCs w:val="23"/>
        </w:rPr>
      </w:pP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LIMA, le 7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octobre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2015</w:t>
      </w:r>
      <w:r w:rsidRPr="004F2A90">
        <w:rPr>
          <w:rFonts w:ascii="Arial" w:eastAsia="Times New Roman" w:hAnsi="Arial" w:cs="Arial"/>
          <w:sz w:val="23"/>
          <w:szCs w:val="23"/>
        </w:rPr>
        <w:t xml:space="preserve"> –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Alors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qu'un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nombre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sans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précédent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migrants et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réfugiés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en provenance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d'Afrique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du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Moyen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-Orient affluent en Europe, un nouveau rapport de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Banque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mondiale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/ FMI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montre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migrations 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grande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échelle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des pays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pauvres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vers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régions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riches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seront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constante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l'économie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mondiale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pour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décennies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venir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4F2A90">
        <w:rPr>
          <w:rFonts w:ascii="Arial" w:eastAsia="Times New Roman" w:hAnsi="Arial" w:cs="Arial"/>
          <w:sz w:val="23"/>
          <w:szCs w:val="23"/>
        </w:rPr>
        <w:t>en</w:t>
      </w:r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raison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importants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mouvements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population entre pays.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proofErr w:type="spellStart"/>
      <w:r w:rsidRPr="004F2A90">
        <w:rPr>
          <w:rFonts w:ascii="Arial" w:eastAsia="Times New Roman" w:hAnsi="Arial" w:cs="Arial"/>
          <w:sz w:val="23"/>
          <w:szCs w:val="23"/>
        </w:rPr>
        <w:t>Selon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</w:t>
      </w:r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 Rapport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suivi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mondial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2015/2016 :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Objectifs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développement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ère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changement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démographique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 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rendu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public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préambule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aux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Assemblées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annuelles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Banque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mondiale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du FMI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tenues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au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Pérou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le monde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connaît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aujourd'hui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d'importants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mouvements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population qui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façonneront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développement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économique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pendant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prochaines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décennies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qui, tout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posant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défis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proposent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voie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à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réduction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pauvreté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au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partage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prospérité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si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bonnes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politiques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sont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mises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en place aux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niveaux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national et international.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sz w:val="23"/>
          <w:szCs w:val="23"/>
        </w:rPr>
        <w:t xml:space="preserve">La part de la population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mondiale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âge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travailler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culminé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à 66 % </w:t>
      </w:r>
      <w:proofErr w:type="gramStart"/>
      <w:r w:rsidRPr="004F2A90">
        <w:rPr>
          <w:rFonts w:ascii="Arial" w:eastAsia="Times New Roman" w:hAnsi="Arial" w:cs="Arial"/>
          <w:sz w:val="23"/>
          <w:szCs w:val="23"/>
        </w:rPr>
        <w:t>et</w:t>
      </w:r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est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maintenant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déclin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.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la population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mondiale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plus de 2 %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années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1960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devrait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ralentir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jusqu'à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1 %. La proportion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personnes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âgées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devrait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presque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doubler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pour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atteindre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16 % en 2050 et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nombre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total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d'enfants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se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stabiliser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à 2 milliards.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sz w:val="23"/>
          <w:szCs w:val="23"/>
        </w:rPr>
        <w:t xml:space="preserve">La direction </w:t>
      </w:r>
      <w:proofErr w:type="gramStart"/>
      <w:r w:rsidRPr="004F2A90">
        <w:rPr>
          <w:rFonts w:ascii="Arial" w:eastAsia="Times New Roman" w:hAnsi="Arial" w:cs="Arial"/>
          <w:sz w:val="23"/>
          <w:szCs w:val="23"/>
        </w:rPr>
        <w:t>et</w:t>
      </w:r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rythme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cette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transition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démographique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mondiale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varient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considérablement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d'un pays 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l'autre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conséquences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diffèrent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selon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rang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qu'occupe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pays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échelles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du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vieillissement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du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développement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économique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. Le rapport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indique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tous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pays,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quels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soient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diversité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4F2A90">
        <w:rPr>
          <w:rFonts w:ascii="Arial" w:eastAsia="Times New Roman" w:hAnsi="Arial" w:cs="Arial"/>
          <w:sz w:val="23"/>
          <w:szCs w:val="23"/>
        </w:rPr>
        <w:t>et</w:t>
      </w:r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stade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développement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peuvent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exploiter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cette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transition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démographique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tant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qu'importante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opportunité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développement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i/>
          <w:iCs/>
          <w:sz w:val="23"/>
          <w:szCs w:val="23"/>
        </w:rPr>
        <w:lastRenderedPageBreak/>
        <w:t xml:space="preserve">« Si des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politiques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adéquates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sont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mises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en place,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cette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ère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changement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démographique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peut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être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un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moteur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économique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>, » </w:t>
      </w:r>
      <w:r w:rsidRPr="004F2A90">
        <w:rPr>
          <w:rFonts w:ascii="Arial" w:eastAsia="Times New Roman" w:hAnsi="Arial" w:cs="Arial"/>
          <w:sz w:val="23"/>
          <w:szCs w:val="23"/>
        </w:rPr>
        <w:t xml:space="preserve">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déclaré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 </w:t>
      </w:r>
      <w:r w:rsidRPr="004F2A90">
        <w:rPr>
          <w:rFonts w:ascii="Arial" w:eastAsia="Times New Roman" w:hAnsi="Arial" w:cs="Arial"/>
          <w:b/>
          <w:bCs/>
          <w:sz w:val="23"/>
          <w:szCs w:val="23"/>
        </w:rPr>
        <w:t>Jim Yong Kim</w:t>
      </w:r>
      <w:r w:rsidRPr="004F2A90">
        <w:rPr>
          <w:rFonts w:ascii="Arial" w:eastAsia="Times New Roman" w:hAnsi="Arial" w:cs="Arial"/>
          <w:sz w:val="23"/>
          <w:szCs w:val="23"/>
        </w:rPr>
        <w:t>, 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Président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du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Groupe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de la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Banque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mondiale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.</w:t>
      </w:r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 « Si les pays aux populations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vieillissantes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trouvent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moyens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faire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participer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réfugiés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et les migrants à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économie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, tout le monde en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bénéficiera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. Tout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semble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montrer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que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les migrants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n’hésitent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pas à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travailler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dur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gram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et</w:t>
      </w:r>
      <w:proofErr w:type="gram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que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impôts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qu’ils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payent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compensent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largement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les services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sociaux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qu’ils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consomment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».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sz w:val="23"/>
          <w:szCs w:val="23"/>
        </w:rPr>
        <w:t xml:space="preserve">Plus de 90 % de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pauvreté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mondiale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se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concentre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pays au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faible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revenu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à la population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jeune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4F2A90">
        <w:rPr>
          <w:rFonts w:ascii="Arial" w:eastAsia="Times New Roman" w:hAnsi="Arial" w:cs="Arial"/>
          <w:sz w:val="23"/>
          <w:szCs w:val="23"/>
        </w:rPr>
        <w:t>et</w:t>
      </w:r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   croissant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rapidement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.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pays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peuvent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s'attendre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voir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population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âge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travailler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augmenter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façon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significative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.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même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temps, plus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trois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quarts de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mondiale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est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générée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pays 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revenu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élevé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qui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enregistrent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taux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fécondité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beaucoup plus bas,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diminution du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nombre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personnes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âge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travailler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un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nombre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croissant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personnes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âgées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« Pour les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années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à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venir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, les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changements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démographiques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analysés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rapport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vont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poser des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défis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fondamentaux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aux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décideurs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politiques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 monde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entier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 », 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indiqué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 </w:t>
      </w:r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Christine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Lagarde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>,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Directrice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générale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du FMI</w:t>
      </w:r>
      <w:r w:rsidRPr="004F2A90">
        <w:rPr>
          <w:rFonts w:ascii="Arial" w:eastAsia="Times New Roman" w:hAnsi="Arial" w:cs="Arial"/>
          <w:sz w:val="23"/>
          <w:szCs w:val="23"/>
        </w:rPr>
        <w:t>. « 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Qu’il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s’agisse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des implications du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vieillissement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continu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des populations, des actions à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prendre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pour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bénéficier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d’un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dividende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démographique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ou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la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gestion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des flux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migratoires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problèmes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sont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au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centre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débats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politiques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nationaux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et du dialogue international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sur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la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meilleure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façon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coopérer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pour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gérer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différentes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pressions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 ».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sz w:val="23"/>
          <w:szCs w:val="23"/>
        </w:rPr>
        <w:t xml:space="preserve">Sur le plan national,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gouvernements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des pays aux populations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jeunes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peuvent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maximiser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avantages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démographie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investissant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santé </w:t>
      </w:r>
      <w:proofErr w:type="gramStart"/>
      <w:r w:rsidRPr="004F2A90">
        <w:rPr>
          <w:rFonts w:ascii="Arial" w:eastAsia="Times New Roman" w:hAnsi="Arial" w:cs="Arial"/>
          <w:sz w:val="23"/>
          <w:szCs w:val="23"/>
        </w:rPr>
        <w:t>et</w:t>
      </w:r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l'éducation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afin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maximiser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compétences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les perspectives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d'emploi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jeunesse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. Les pays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dont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population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vieillit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devraient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consolider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acquis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économiques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en stimulant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productivité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4F2A90">
        <w:rPr>
          <w:rFonts w:ascii="Arial" w:eastAsia="Times New Roman" w:hAnsi="Arial" w:cs="Arial"/>
          <w:sz w:val="23"/>
          <w:szCs w:val="23"/>
        </w:rPr>
        <w:t>et</w:t>
      </w:r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protéger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personnes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âgées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renforçant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système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protection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sociale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autres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dispositifs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d'aide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sociale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. Au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niveau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mondial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libéralisation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des flux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transfrontaliers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du commerce,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investissements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4F2A90">
        <w:rPr>
          <w:rFonts w:ascii="Arial" w:eastAsia="Times New Roman" w:hAnsi="Arial" w:cs="Arial"/>
          <w:sz w:val="23"/>
          <w:szCs w:val="23"/>
        </w:rPr>
        <w:t>et</w:t>
      </w:r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personnes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peut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aider 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gérer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déséquilibres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démographiques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sz w:val="23"/>
          <w:szCs w:val="23"/>
        </w:rPr>
        <w:t xml:space="preserve">Les pays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peuvent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bénéficier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d'un premier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dividende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démographique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quand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main-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d'œuvre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croît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proportionnellement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à la population,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apportant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alors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puissante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accélération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. Avec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l’accroissement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la production </w:t>
      </w:r>
      <w:proofErr w:type="gramStart"/>
      <w:r w:rsidRPr="004F2A90">
        <w:rPr>
          <w:rFonts w:ascii="Arial" w:eastAsia="Times New Roman" w:hAnsi="Arial" w:cs="Arial"/>
          <w:sz w:val="23"/>
          <w:szCs w:val="23"/>
        </w:rPr>
        <w:t>et</w:t>
      </w:r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ressources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résultant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r w:rsidRPr="004F2A90">
        <w:rPr>
          <w:rFonts w:ascii="Arial" w:eastAsia="Times New Roman" w:hAnsi="Arial" w:cs="Arial"/>
          <w:sz w:val="23"/>
          <w:szCs w:val="23"/>
        </w:rPr>
        <w:lastRenderedPageBreak/>
        <w:t xml:space="preserve">modifications de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pyramide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âges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un second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dividende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est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possible car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l'épargne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s'accumule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l'investissement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augmente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proofErr w:type="spellStart"/>
      <w:r w:rsidRPr="004F2A90">
        <w:rPr>
          <w:rFonts w:ascii="Arial" w:eastAsia="Times New Roman" w:hAnsi="Arial" w:cs="Arial"/>
          <w:sz w:val="23"/>
          <w:szCs w:val="23"/>
        </w:rPr>
        <w:t>Alors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pays 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faible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revenu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peuvent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s'attendre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enregistrer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plus forte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part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population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âge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travailler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beaucoup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d’entre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eux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souffrent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conflits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ou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d’une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fragilité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qui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risquent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réduire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gains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attendus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. Le rapport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indique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qu’avec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forte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fécondité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4F2A90">
        <w:rPr>
          <w:rFonts w:ascii="Arial" w:eastAsia="Times New Roman" w:hAnsi="Arial" w:cs="Arial"/>
          <w:sz w:val="23"/>
          <w:szCs w:val="23"/>
        </w:rPr>
        <w:t>et</w:t>
      </w:r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sa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population,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l'Afrique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subsaharienne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abritera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part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importante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enfants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personnes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âge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travailler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décennies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venir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i/>
          <w:iCs/>
          <w:sz w:val="23"/>
          <w:szCs w:val="23"/>
        </w:rPr>
        <w:t>« 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Comme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nous le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rappellent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les images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déchirantes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familles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fuyant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désespérément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la guerre,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nombreux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migrants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quittent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maison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en raison des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conflits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,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l'instabilité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ou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l'absence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d'opportunités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économiques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 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pays », </w:t>
      </w:r>
      <w:r w:rsidRPr="004F2A90">
        <w:rPr>
          <w:rFonts w:ascii="Arial" w:eastAsia="Times New Roman" w:hAnsi="Arial" w:cs="Arial"/>
          <w:sz w:val="23"/>
          <w:szCs w:val="23"/>
        </w:rPr>
        <w:t xml:space="preserve">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expliqué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 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Kaushik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Basu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>, Premier Vice-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président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et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Économiste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en chef à la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Banque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mondiale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.</w:t>
      </w:r>
      <w:r w:rsidRPr="004F2A90">
        <w:rPr>
          <w:rFonts w:ascii="Arial" w:eastAsia="Times New Roman" w:hAnsi="Arial" w:cs="Arial"/>
          <w:i/>
          <w:iCs/>
          <w:sz w:val="23"/>
          <w:szCs w:val="23"/>
        </w:rPr>
        <w:t> « 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Alors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que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nombreux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réfugiés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se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déplacent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vers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les pays riches, les flux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démographiques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vers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les pays à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faible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gram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et</w:t>
      </w:r>
      <w:proofErr w:type="gram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moyen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revenu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sont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beaucoup plus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grands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et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souvent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sous-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estimés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.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Créer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opportunités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économiques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les pays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où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la proportion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jeunes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progresse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contribuera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à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stabilité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et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développement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économique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et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aidera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les pays à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abaisser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leurs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taux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fécondité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qui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contribuera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à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accélérer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> ».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sz w:val="23"/>
          <w:szCs w:val="23"/>
        </w:rPr>
        <w:t xml:space="preserve">Les pays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dont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développement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accuse du retard </w:t>
      </w:r>
      <w:proofErr w:type="gramStart"/>
      <w:r w:rsidRPr="004F2A90">
        <w:rPr>
          <w:rFonts w:ascii="Arial" w:eastAsia="Times New Roman" w:hAnsi="Arial" w:cs="Arial"/>
          <w:sz w:val="23"/>
          <w:szCs w:val="23"/>
        </w:rPr>
        <w:t>et</w:t>
      </w:r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dont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taux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fécondité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est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élevé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comme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par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exemple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Niger,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sont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classés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parmi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pays en situation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pré-dividende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.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Selon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rapport,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il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pourrait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être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avantage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d’améliorer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soins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santé et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l’enseignement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qui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contribuera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abaisser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taux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fécondité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accélérera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transition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vers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augmentation de la part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population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âge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travailler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sz w:val="23"/>
          <w:szCs w:val="23"/>
        </w:rPr>
        <w:t xml:space="preserve">Les pays en situation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dividende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précoce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dont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taux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fécondité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a déjà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baissé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mais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dont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population </w:t>
      </w:r>
      <w:proofErr w:type="spellStart"/>
      <w:proofErr w:type="gramStart"/>
      <w:r w:rsidRPr="004F2A90">
        <w:rPr>
          <w:rFonts w:ascii="Arial" w:eastAsia="Times New Roman" w:hAnsi="Arial" w:cs="Arial"/>
          <w:sz w:val="23"/>
          <w:szCs w:val="23"/>
        </w:rPr>
        <w:t>est</w:t>
      </w:r>
      <w:proofErr w:type="spellEnd"/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encore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jeune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comme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par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exemple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l'Éthiopie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pourraient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bénéficier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d'une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accélération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création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d'emplois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. Le rapport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souligne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qu'une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main-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d'œuvre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en expansion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est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liée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à la </w:t>
      </w:r>
      <w:proofErr w:type="spellStart"/>
      <w:proofErr w:type="gramStart"/>
      <w:r w:rsidRPr="004F2A90">
        <w:rPr>
          <w:rFonts w:ascii="Arial" w:eastAsia="Times New Roman" w:hAnsi="Arial" w:cs="Arial"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:</w:t>
      </w:r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augmentation d'un point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pourcentage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population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âge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travailler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peut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se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traduire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par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augmentation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pouvant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aller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jusqu'à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deux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points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pourcentage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du PIB par habitant.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proofErr w:type="spellStart"/>
      <w:proofErr w:type="gram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les pays en situation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dividende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tardif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tels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Brésil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où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part de la population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âge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travailler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décroît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dynamisme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économique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risque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décliner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. </w:t>
      </w:r>
      <w:proofErr w:type="gramStart"/>
      <w:r w:rsidRPr="004F2A90">
        <w:rPr>
          <w:rFonts w:ascii="Arial" w:eastAsia="Times New Roman" w:hAnsi="Arial" w:cs="Arial"/>
          <w:sz w:val="23"/>
          <w:szCs w:val="23"/>
        </w:rPr>
        <w:t>Il</w:t>
      </w:r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faudrait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donc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leurs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gouvernements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encouragent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l'épargne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faveur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l'investissement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productif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la participation des femmes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population active et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renforcement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systèmes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r w:rsidRPr="004F2A90">
        <w:rPr>
          <w:rFonts w:ascii="Arial" w:eastAsia="Times New Roman" w:hAnsi="Arial" w:cs="Arial"/>
          <w:sz w:val="23"/>
          <w:szCs w:val="23"/>
        </w:rPr>
        <w:lastRenderedPageBreak/>
        <w:t xml:space="preserve">protection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sociale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. Le rapport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indique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pays en situation de post-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dividende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caractérisés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par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baisse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la population active et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l'augmentation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du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nombre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personnes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âgées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comme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par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exemple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Japon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devraient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finaliser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réformes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cours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systèmes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santé et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retraites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prendre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mesures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supplémentaires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visant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renforcer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participation et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productivité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la main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d'œuvre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« Pour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tirer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parti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du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changement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démographique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au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sein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des pays, les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centres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pauvreté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 monde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doivent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faciliter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la transition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démographique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en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ralentissant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la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la population et en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accélérant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la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création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d’emplois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,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façon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à absorber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l’augmentation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la population en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âge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travailler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», </w:t>
      </w:r>
      <w:r w:rsidRPr="004F2A90">
        <w:rPr>
          <w:rFonts w:ascii="Arial" w:eastAsia="Times New Roman" w:hAnsi="Arial" w:cs="Arial"/>
          <w:sz w:val="23"/>
          <w:szCs w:val="23"/>
        </w:rPr>
        <w:t xml:space="preserve">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déclaré</w:t>
      </w:r>
      <w:r w:rsidRPr="004F2A90">
        <w:rPr>
          <w:rFonts w:ascii="Arial" w:eastAsia="Times New Roman" w:hAnsi="Arial" w:cs="Arial"/>
          <w:b/>
          <w:bCs/>
          <w:sz w:val="23"/>
          <w:szCs w:val="23"/>
        </w:rPr>
        <w:t>Philip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Schellekens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>, </w:t>
      </w:r>
      <w:r w:rsidRPr="004F2A90">
        <w:rPr>
          <w:rFonts w:ascii="Arial" w:eastAsia="Times New Roman" w:hAnsi="Arial" w:cs="Arial"/>
          <w:sz w:val="23"/>
          <w:szCs w:val="23"/>
        </w:rPr>
        <w:t>auteur principal du rapport</w:t>
      </w:r>
      <w:r w:rsidRPr="004F2A90">
        <w:rPr>
          <w:rFonts w:ascii="Arial" w:eastAsia="Times New Roman" w:hAnsi="Arial" w:cs="Arial"/>
          <w:b/>
          <w:bCs/>
          <w:sz w:val="23"/>
          <w:szCs w:val="23"/>
        </w:rPr>
        <w:t>.</w:t>
      </w:r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 « Au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niveau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mondial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, les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moteurs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doivent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prendre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en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compte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les vents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contraires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la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démographie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et adapter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leurs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institutions et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politiques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au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vieillissement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.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 monde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interconnecté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proofErr w:type="gram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d’aujourd’hui</w:t>
      </w:r>
      <w:proofErr w:type="spellEnd"/>
      <w:proofErr w:type="gram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, des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politiques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efficaces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contribueront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à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mieux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équilibrer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l’impact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du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changement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démographique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entre les pays.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circulation plus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libre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capitaux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, du commerce et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surtout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travailleurs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offrent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d’excellentes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occasions de faire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cette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ère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changement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démographique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intense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ère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progrès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soutenus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en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matière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développement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».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proofErr w:type="spell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section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séparée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le rapport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détaille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diminution du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nombre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personnes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vivant sous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seuil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pauvreté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mondiale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c'est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-à-dire vivant avec 1,90 USD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ou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moins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par jour, avec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prévision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9,6 % de la population du monde en 2015,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soit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diminution par rapport à 2012 de 200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millions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personnes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vivant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extrême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pauvreté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sz w:val="23"/>
          <w:szCs w:val="23"/>
        </w:rPr>
        <w:t xml:space="preserve">Le rapport note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économique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mondiale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en 2015 sera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décevante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chutant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3</w:t>
      </w:r>
      <w:proofErr w:type="gramStart"/>
      <w:r w:rsidRPr="004F2A90">
        <w:rPr>
          <w:rFonts w:ascii="Arial" w:eastAsia="Times New Roman" w:hAnsi="Arial" w:cs="Arial"/>
          <w:sz w:val="23"/>
          <w:szCs w:val="23"/>
        </w:rPr>
        <w:t>,4</w:t>
      </w:r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% en 2014 à 3,1% suite à un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ralentissement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plusieurs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économies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marché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émergentes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.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Cependant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devrait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remonter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à 3,6 % en 2016 suite au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renforcement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la reprise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grandes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économies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avancées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sous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conduite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États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-Unis, et 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 certain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redressement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plusieurs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économies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marché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émergentes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en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développement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>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i/>
          <w:iCs/>
          <w:sz w:val="23"/>
          <w:szCs w:val="23"/>
        </w:rPr>
        <w:t>« 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L’environnement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économique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mondial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proofErr w:type="gram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est</w:t>
      </w:r>
      <w:proofErr w:type="spellEnd"/>
      <w:proofErr w:type="gram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plus en plus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incertain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, avec des perspectives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revues à nouveau à la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baisse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, qui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ont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alimenté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préoccupations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quant à un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ralentissement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plus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fondamental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taux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tendancielle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dans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nombreux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pays » </w:t>
      </w:r>
      <w:r w:rsidRPr="004F2A90">
        <w:rPr>
          <w:rFonts w:ascii="Arial" w:eastAsia="Times New Roman" w:hAnsi="Arial" w:cs="Arial"/>
          <w:sz w:val="23"/>
          <w:szCs w:val="23"/>
        </w:rPr>
        <w:t xml:space="preserve">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déclaré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 Sean Nolan,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directeur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adjoint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du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Département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de la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stratégie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, des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politiques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et de </w:t>
      </w:r>
      <w:proofErr w:type="spellStart"/>
      <w:r w:rsidRPr="004F2A90">
        <w:rPr>
          <w:rFonts w:ascii="Arial" w:eastAsia="Times New Roman" w:hAnsi="Arial" w:cs="Arial"/>
          <w:b/>
          <w:bCs/>
          <w:sz w:val="23"/>
          <w:szCs w:val="23"/>
        </w:rPr>
        <w:t>l’évaluation</w:t>
      </w:r>
      <w:proofErr w:type="spellEnd"/>
      <w:r w:rsidRPr="004F2A90">
        <w:rPr>
          <w:rFonts w:ascii="Arial" w:eastAsia="Times New Roman" w:hAnsi="Arial" w:cs="Arial"/>
          <w:b/>
          <w:bCs/>
          <w:sz w:val="23"/>
          <w:szCs w:val="23"/>
        </w:rPr>
        <w:t xml:space="preserve"> au FMI. </w:t>
      </w:r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« Des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réformes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l’offre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visant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à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revitaliser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la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croissance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la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productivité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sont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essentielles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, et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leur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contenu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mesures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variera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selon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i/>
          <w:iCs/>
          <w:sz w:val="23"/>
          <w:szCs w:val="23"/>
        </w:rPr>
        <w:t>circonstances</w:t>
      </w:r>
      <w:proofErr w:type="spellEnd"/>
      <w:r w:rsidRPr="004F2A90">
        <w:rPr>
          <w:rFonts w:ascii="Arial" w:eastAsia="Times New Roman" w:hAnsi="Arial" w:cs="Arial"/>
          <w:i/>
          <w:iCs/>
          <w:sz w:val="23"/>
          <w:szCs w:val="23"/>
        </w:rPr>
        <w:t xml:space="preserve"> des pays ».</w:t>
      </w:r>
    </w:p>
    <w:p w:rsidR="004F2A90" w:rsidRPr="004F2A90" w:rsidRDefault="004F2A90" w:rsidP="004F2A90">
      <w:pPr>
        <w:spacing w:after="225" w:line="360" w:lineRule="atLeast"/>
        <w:rPr>
          <w:rFonts w:ascii="Arial" w:eastAsia="Times New Roman" w:hAnsi="Arial" w:cs="Arial"/>
          <w:sz w:val="23"/>
          <w:szCs w:val="23"/>
        </w:rPr>
      </w:pPr>
      <w:r w:rsidRPr="004F2A90">
        <w:rPr>
          <w:rFonts w:ascii="Arial" w:eastAsia="Times New Roman" w:hAnsi="Arial" w:cs="Arial"/>
          <w:sz w:val="23"/>
          <w:szCs w:val="23"/>
        </w:rPr>
        <w:lastRenderedPageBreak/>
        <w:t xml:space="preserve">Le rapport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complet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incluant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section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suivi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progrès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du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développement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mondial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proofErr w:type="gramStart"/>
      <w:r w:rsidRPr="004F2A90">
        <w:rPr>
          <w:rFonts w:ascii="Arial" w:eastAsia="Times New Roman" w:hAnsi="Arial" w:cs="Arial"/>
          <w:sz w:val="23"/>
          <w:szCs w:val="23"/>
        </w:rPr>
        <w:t>est</w:t>
      </w:r>
      <w:proofErr w:type="spellEnd"/>
      <w:proofErr w:type="gram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disponible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site </w:t>
      </w:r>
      <w:hyperlink r:id="rId6" w:history="1">
        <w:r w:rsidRPr="004F2A90">
          <w:rPr>
            <w:rFonts w:ascii="Arial" w:eastAsia="Times New Roman" w:hAnsi="Arial" w:cs="Arial"/>
            <w:b/>
            <w:bCs/>
            <w:sz w:val="23"/>
            <w:szCs w:val="23"/>
            <w:u w:val="single"/>
          </w:rPr>
          <w:t>www.worldbank.org/gmr</w:t>
        </w:r>
      </w:hyperlink>
      <w:r w:rsidRPr="004F2A90">
        <w:rPr>
          <w:rFonts w:ascii="Arial" w:eastAsia="Times New Roman" w:hAnsi="Arial" w:cs="Arial"/>
          <w:b/>
          <w:bCs/>
          <w:sz w:val="23"/>
          <w:szCs w:val="23"/>
        </w:rPr>
        <w:t>. </w:t>
      </w:r>
      <w:r w:rsidRPr="004F2A90">
        <w:rPr>
          <w:rFonts w:ascii="Arial" w:eastAsia="Times New Roman" w:hAnsi="Arial" w:cs="Arial"/>
          <w:sz w:val="23"/>
          <w:szCs w:val="23"/>
        </w:rPr>
        <w:t xml:space="preserve">Pour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discussion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détaillée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données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actualisées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pauvreté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de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prospérité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partagée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des agendas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politiques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voir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la Note de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recherche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politique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de la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Banque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mondiale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15/03 « 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Mettre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fin à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l'extrême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pauvreté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promouvoir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une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prospérité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partagée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: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Progrès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et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politiques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 »,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disponible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F2A90">
        <w:rPr>
          <w:rFonts w:ascii="Arial" w:eastAsia="Times New Roman" w:hAnsi="Arial" w:cs="Arial"/>
          <w:sz w:val="23"/>
          <w:szCs w:val="23"/>
        </w:rPr>
        <w:t>sur</w:t>
      </w:r>
      <w:proofErr w:type="spellEnd"/>
      <w:r w:rsidRPr="004F2A90">
        <w:rPr>
          <w:rFonts w:ascii="Arial" w:eastAsia="Times New Roman" w:hAnsi="Arial" w:cs="Arial"/>
          <w:sz w:val="23"/>
          <w:szCs w:val="23"/>
        </w:rPr>
        <w:t xml:space="preserve"> le site </w:t>
      </w:r>
      <w:hyperlink r:id="rId7" w:history="1">
        <w:r w:rsidRPr="004F2A90">
          <w:rPr>
            <w:rFonts w:ascii="Arial" w:eastAsia="Times New Roman" w:hAnsi="Arial" w:cs="Arial"/>
            <w:b/>
            <w:bCs/>
            <w:sz w:val="23"/>
            <w:szCs w:val="23"/>
            <w:u w:val="single"/>
          </w:rPr>
          <w:t>www.worldbank.org/prn/twingoals</w:t>
        </w:r>
      </w:hyperlink>
    </w:p>
    <w:p w:rsidR="00571D17" w:rsidRDefault="00571D17"/>
    <w:sectPr w:rsidR="0057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600"/>
    <w:multiLevelType w:val="multilevel"/>
    <w:tmpl w:val="BD6C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42CE1"/>
    <w:multiLevelType w:val="multilevel"/>
    <w:tmpl w:val="F3C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C37EB"/>
    <w:multiLevelType w:val="multilevel"/>
    <w:tmpl w:val="F3FA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05D98"/>
    <w:multiLevelType w:val="multilevel"/>
    <w:tmpl w:val="9EC2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90"/>
    <w:rsid w:val="004F2A90"/>
    <w:rsid w:val="0057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79D35-B8F2-47FD-9929-2DB3E531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F2A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2A90"/>
  </w:style>
  <w:style w:type="character" w:customStyle="1" w:styleId="screen-reader-text">
    <w:name w:val="screen-reader-text"/>
    <w:basedOn w:val="DefaultParagraphFont"/>
    <w:rsid w:val="004F2A90"/>
  </w:style>
  <w:style w:type="character" w:customStyle="1" w:styleId="social-btn-text">
    <w:name w:val="social-btn-text"/>
    <w:basedOn w:val="DefaultParagraphFont"/>
    <w:rsid w:val="004F2A90"/>
  </w:style>
  <w:style w:type="paragraph" w:styleId="NormalWeb">
    <w:name w:val="Normal (Web)"/>
    <w:basedOn w:val="Normal"/>
    <w:uiPriority w:val="99"/>
    <w:semiHidden/>
    <w:unhideWhenUsed/>
    <w:rsid w:val="004F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</w:div>
          </w:divsChild>
        </w:div>
        <w:div w:id="1123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4058">
                  <w:marLeft w:val="-150"/>
                  <w:marRight w:val="-15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901316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8" w:color="auto"/>
                        <w:bottom w:val="single" w:sz="2" w:space="0" w:color="auto"/>
                        <w:right w:val="single" w:sz="2" w:space="8" w:color="auto"/>
                      </w:divBdr>
                      <w:divsChild>
                        <w:div w:id="18967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554">
                      <w:marLeft w:val="-150"/>
                      <w:marRight w:val="-15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394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8" w:color="auto"/>
                            <w:bottom w:val="single" w:sz="2" w:space="0" w:color="auto"/>
                            <w:right w:val="single" w:sz="2" w:space="8" w:color="auto"/>
                          </w:divBdr>
                          <w:divsChild>
                            <w:div w:id="121608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9330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8404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8" w:color="auto"/>
                                                    <w:bottom w:val="single" w:sz="2" w:space="0" w:color="auto"/>
                                                    <w:right w:val="single" w:sz="2" w:space="8" w:color="auto"/>
                                                  </w:divBdr>
                                                  <w:divsChild>
                                                    <w:div w:id="22380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7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3249">
                      <w:marLeft w:val="-150"/>
                      <w:marRight w:val="-15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078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8" w:color="auto"/>
                            <w:bottom w:val="single" w:sz="2" w:space="0" w:color="auto"/>
                            <w:right w:val="single" w:sz="2" w:space="8" w:color="auto"/>
                          </w:divBdr>
                          <w:divsChild>
                            <w:div w:id="2042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EDEDE"/>
                              </w:divBdr>
                              <w:divsChild>
                                <w:div w:id="7377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576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0814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8" w:color="auto"/>
                                                    <w:bottom w:val="single" w:sz="2" w:space="0" w:color="auto"/>
                                                    <w:right w:val="single" w:sz="2" w:space="8" w:color="auto"/>
                                                  </w:divBdr>
                                                  <w:divsChild>
                                                    <w:div w:id="125751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82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5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7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9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42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63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075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6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208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68324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8" w:color="auto"/>
                                                    <w:bottom w:val="single" w:sz="2" w:space="0" w:color="auto"/>
                                                    <w:right w:val="single" w:sz="2" w:space="8" w:color="auto"/>
                                                  </w:divBdr>
                                                  <w:divsChild>
                                                    <w:div w:id="103299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7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5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7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4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bank.org/prn/twingo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bank.org/gmr" TargetMode="External"/><Relationship Id="rId5" Type="http://schemas.openxmlformats.org/officeDocument/2006/relationships/hyperlink" Target="http://www.banquemondial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2017-04-18T19:13:00Z</dcterms:created>
  <dcterms:modified xsi:type="dcterms:W3CDTF">2017-04-18T19:14:00Z</dcterms:modified>
</cp:coreProperties>
</file>